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97B5A" w14:textId="2AE83EAA" w:rsidR="00D56572" w:rsidRPr="00D56572" w:rsidRDefault="00D56572" w:rsidP="00D56572">
      <w:pPr>
        <w:shd w:val="clear" w:color="auto" w:fill="FFFFFF"/>
        <w:spacing w:before="450" w:after="300" w:line="240" w:lineRule="auto"/>
        <w:outlineLvl w:val="1"/>
        <w:rPr>
          <w:rFonts w:ascii="Roboto" w:eastAsia="Times New Roman" w:hAnsi="Roboto" w:cs="Times New Roman"/>
          <w:b/>
          <w:bCs/>
          <w:color w:val="231F20"/>
          <w:kern w:val="0"/>
          <w:sz w:val="48"/>
          <w:szCs w:val="48"/>
          <w:lang w:eastAsia="en-IE"/>
          <w14:ligatures w14:val="none"/>
        </w:rPr>
      </w:pPr>
      <w:r w:rsidRPr="00D56572">
        <w:rPr>
          <w:rFonts w:ascii="Roboto" w:eastAsia="Times New Roman" w:hAnsi="Roboto" w:cs="Times New Roman"/>
          <w:b/>
          <w:bCs/>
          <w:color w:val="231F20"/>
          <w:kern w:val="0"/>
          <w:sz w:val="48"/>
          <w:szCs w:val="48"/>
          <w:lang w:eastAsia="en-IE"/>
          <w14:ligatures w14:val="none"/>
        </w:rPr>
        <w:t>Marie Sklodowska-Curie Postdoctoral Fellowship</w:t>
      </w:r>
      <w:r w:rsidR="00BA7080">
        <w:rPr>
          <w:rFonts w:ascii="Roboto" w:eastAsia="Times New Roman" w:hAnsi="Roboto" w:cs="Times New Roman"/>
          <w:b/>
          <w:bCs/>
          <w:color w:val="231F20"/>
          <w:kern w:val="0"/>
          <w:sz w:val="48"/>
          <w:szCs w:val="48"/>
          <w:lang w:eastAsia="en-IE"/>
          <w14:ligatures w14:val="none"/>
        </w:rPr>
        <w:t>s</w:t>
      </w:r>
      <w:r w:rsidRPr="00D56572">
        <w:rPr>
          <w:rFonts w:ascii="Roboto" w:eastAsia="Times New Roman" w:hAnsi="Roboto" w:cs="Times New Roman"/>
          <w:b/>
          <w:bCs/>
          <w:color w:val="231F20"/>
          <w:kern w:val="0"/>
          <w:sz w:val="48"/>
          <w:szCs w:val="48"/>
          <w:lang w:eastAsia="en-IE"/>
          <w14:ligatures w14:val="none"/>
        </w:rPr>
        <w:t xml:space="preserve"> - Expression</w:t>
      </w:r>
      <w:r w:rsidR="00BA7080">
        <w:rPr>
          <w:rFonts w:ascii="Roboto" w:eastAsia="Times New Roman" w:hAnsi="Roboto" w:cs="Times New Roman"/>
          <w:b/>
          <w:bCs/>
          <w:color w:val="231F20"/>
          <w:kern w:val="0"/>
          <w:sz w:val="48"/>
          <w:szCs w:val="48"/>
          <w:lang w:eastAsia="en-IE"/>
          <w14:ligatures w14:val="none"/>
        </w:rPr>
        <w:t>s</w:t>
      </w:r>
      <w:r w:rsidRPr="00D56572">
        <w:rPr>
          <w:rFonts w:ascii="Roboto" w:eastAsia="Times New Roman" w:hAnsi="Roboto" w:cs="Times New Roman"/>
          <w:b/>
          <w:bCs/>
          <w:color w:val="231F20"/>
          <w:kern w:val="0"/>
          <w:sz w:val="48"/>
          <w:szCs w:val="48"/>
          <w:lang w:eastAsia="en-IE"/>
          <w14:ligatures w14:val="none"/>
        </w:rPr>
        <w:t xml:space="preserve"> of Interest</w:t>
      </w:r>
    </w:p>
    <w:p w14:paraId="1FA7293D" w14:textId="2AB8D806" w:rsidR="0011042A" w:rsidRDefault="002B4B2F" w:rsidP="002B4B2F">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D56572">
        <w:rPr>
          <w:rFonts w:ascii="Roboto" w:eastAsia="Times New Roman" w:hAnsi="Roboto" w:cs="Times New Roman"/>
          <w:color w:val="231F20"/>
          <w:kern w:val="0"/>
          <w:sz w:val="24"/>
          <w:szCs w:val="24"/>
          <w:lang w:eastAsia="en-IE"/>
          <w14:ligatures w14:val="none"/>
        </w:rPr>
        <w:t xml:space="preserve">The Irish Centre for Human Rights at the University of Galway, </w:t>
      </w:r>
      <w:r w:rsidRPr="002B4B2F">
        <w:rPr>
          <w:rFonts w:ascii="Roboto" w:eastAsia="Times New Roman" w:hAnsi="Roboto" w:cs="Times New Roman"/>
          <w:color w:val="231F20"/>
          <w:kern w:val="0"/>
          <w:sz w:val="24"/>
          <w:szCs w:val="24"/>
          <w:lang w:eastAsia="en-IE"/>
          <w14:ligatures w14:val="none"/>
        </w:rPr>
        <w:t>is seeking expressions of interest from enthusiastic and talented postdoctoral researchers who wish to apply for a </w:t>
      </w:r>
      <w:hyperlink r:id="rId4" w:history="1">
        <w:r w:rsidRPr="002B4B2F">
          <w:rPr>
            <w:rFonts w:ascii="Roboto" w:eastAsia="Times New Roman" w:hAnsi="Roboto" w:cs="Times New Roman"/>
            <w:color w:val="2368A1"/>
            <w:kern w:val="0"/>
            <w:sz w:val="24"/>
            <w:szCs w:val="24"/>
            <w:u w:val="single"/>
            <w:lang w:eastAsia="en-IE"/>
            <w14:ligatures w14:val="none"/>
          </w:rPr>
          <w:t>Marie Sklodowska-Curie Postdoctoral Fellowship </w:t>
        </w:r>
      </w:hyperlink>
      <w:r w:rsidRPr="002B4B2F">
        <w:rPr>
          <w:rFonts w:ascii="Roboto" w:eastAsia="Times New Roman" w:hAnsi="Roboto" w:cs="Times New Roman"/>
          <w:color w:val="231F20"/>
          <w:kern w:val="0"/>
          <w:sz w:val="24"/>
          <w:szCs w:val="24"/>
          <w:lang w:eastAsia="en-IE"/>
          <w14:ligatures w14:val="none"/>
        </w:rPr>
        <w:t> </w:t>
      </w:r>
      <w:r w:rsidR="00D56572">
        <w:rPr>
          <w:rFonts w:ascii="Roboto" w:eastAsia="Times New Roman" w:hAnsi="Roboto" w:cs="Times New Roman"/>
          <w:color w:val="231F20"/>
          <w:kern w:val="0"/>
          <w:sz w:val="24"/>
          <w:szCs w:val="24"/>
          <w:lang w:eastAsia="en-IE"/>
          <w14:ligatures w14:val="none"/>
        </w:rPr>
        <w:t xml:space="preserve"> </w:t>
      </w:r>
    </w:p>
    <w:p w14:paraId="3C630D54" w14:textId="35A1F698" w:rsidR="002B4B2F" w:rsidRPr="002B4B2F" w:rsidRDefault="002B4B2F" w:rsidP="002B4B2F">
      <w:pPr>
        <w:shd w:val="clear" w:color="auto" w:fill="FFFFFF"/>
        <w:spacing w:after="195" w:line="240" w:lineRule="auto"/>
        <w:rPr>
          <w:rFonts w:ascii="Roboto" w:eastAsia="Times New Roman" w:hAnsi="Roboto" w:cs="Times New Roman"/>
          <w:color w:val="231F20"/>
          <w:kern w:val="0"/>
          <w:sz w:val="24"/>
          <w:szCs w:val="24"/>
          <w:lang w:eastAsia="en-IE"/>
          <w14:ligatures w14:val="none"/>
        </w:rPr>
      </w:pPr>
      <w:proofErr w:type="gramStart"/>
      <w:r w:rsidRPr="002B4B2F">
        <w:rPr>
          <w:rFonts w:ascii="Roboto" w:eastAsia="Times New Roman" w:hAnsi="Roboto" w:cs="Times New Roman"/>
          <w:color w:val="231F20"/>
          <w:kern w:val="0"/>
          <w:sz w:val="24"/>
          <w:szCs w:val="24"/>
          <w:lang w:eastAsia="en-IE"/>
          <w14:ligatures w14:val="none"/>
        </w:rPr>
        <w:t>In order to</w:t>
      </w:r>
      <w:proofErr w:type="gramEnd"/>
      <w:r w:rsidRPr="002B4B2F">
        <w:rPr>
          <w:rFonts w:ascii="Roboto" w:eastAsia="Times New Roman" w:hAnsi="Roboto" w:cs="Times New Roman"/>
          <w:color w:val="231F20"/>
          <w:kern w:val="0"/>
          <w:sz w:val="24"/>
          <w:szCs w:val="24"/>
          <w:lang w:eastAsia="en-IE"/>
          <w14:ligatures w14:val="none"/>
        </w:rPr>
        <w:t xml:space="preserve"> secure funding, the experienced researcher must develop a proposal with the host </w:t>
      </w:r>
      <w:r w:rsidR="00D56572">
        <w:rPr>
          <w:rFonts w:ascii="Roboto" w:eastAsia="Times New Roman" w:hAnsi="Roboto" w:cs="Times New Roman"/>
          <w:color w:val="231F20"/>
          <w:kern w:val="0"/>
          <w:sz w:val="24"/>
          <w:szCs w:val="24"/>
          <w:lang w:eastAsia="en-IE"/>
          <w14:ligatures w14:val="none"/>
        </w:rPr>
        <w:t xml:space="preserve">institution </w:t>
      </w:r>
      <w:r w:rsidRPr="002B4B2F">
        <w:rPr>
          <w:rFonts w:ascii="Roboto" w:eastAsia="Times New Roman" w:hAnsi="Roboto" w:cs="Times New Roman"/>
          <w:color w:val="231F20"/>
          <w:kern w:val="0"/>
          <w:sz w:val="24"/>
          <w:szCs w:val="24"/>
          <w:lang w:eastAsia="en-IE"/>
          <w14:ligatures w14:val="none"/>
        </w:rPr>
        <w:t>for the September 202</w:t>
      </w:r>
      <w:r w:rsidR="0011042A">
        <w:rPr>
          <w:rFonts w:ascii="Roboto" w:eastAsia="Times New Roman" w:hAnsi="Roboto" w:cs="Times New Roman"/>
          <w:color w:val="231F20"/>
          <w:kern w:val="0"/>
          <w:sz w:val="24"/>
          <w:szCs w:val="24"/>
          <w:lang w:eastAsia="en-IE"/>
          <w14:ligatures w14:val="none"/>
        </w:rPr>
        <w:t>5</w:t>
      </w:r>
      <w:r w:rsidRPr="002B4B2F">
        <w:rPr>
          <w:rFonts w:ascii="Roboto" w:eastAsia="Times New Roman" w:hAnsi="Roboto" w:cs="Times New Roman"/>
          <w:color w:val="231F20"/>
          <w:kern w:val="0"/>
          <w:sz w:val="24"/>
          <w:szCs w:val="24"/>
          <w:lang w:eastAsia="en-IE"/>
          <w14:ligatures w14:val="none"/>
        </w:rPr>
        <w:t xml:space="preserve"> deadline.</w:t>
      </w:r>
      <w:r w:rsidRPr="00D56572">
        <w:rPr>
          <w:rFonts w:ascii="Roboto" w:eastAsia="Times New Roman" w:hAnsi="Roboto" w:cs="Times New Roman"/>
          <w:color w:val="231F20"/>
          <w:kern w:val="0"/>
          <w:sz w:val="24"/>
          <w:szCs w:val="24"/>
          <w:lang w:eastAsia="en-IE"/>
          <w14:ligatures w14:val="none"/>
        </w:rPr>
        <w:t xml:space="preserve"> We welcome expressions of interest from eligible researchers.</w:t>
      </w:r>
      <w:r w:rsidR="00D56572">
        <w:rPr>
          <w:rFonts w:ascii="Roboto" w:eastAsia="Times New Roman" w:hAnsi="Roboto" w:cs="Times New Roman"/>
          <w:color w:val="231F20"/>
          <w:kern w:val="0"/>
          <w:sz w:val="24"/>
          <w:szCs w:val="24"/>
          <w:lang w:eastAsia="en-IE"/>
          <w14:ligatures w14:val="none"/>
        </w:rPr>
        <w:t xml:space="preserve"> Our research office is ready to support researchers through the application process. </w:t>
      </w:r>
    </w:p>
    <w:p w14:paraId="203956E4" w14:textId="217DFFCF" w:rsidR="001546F2" w:rsidRDefault="001546F2" w:rsidP="001546F2">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2B4B2F">
        <w:rPr>
          <w:rFonts w:ascii="Roboto" w:eastAsia="Times New Roman" w:hAnsi="Roboto" w:cs="Times New Roman"/>
          <w:color w:val="231F20"/>
          <w:kern w:val="0"/>
          <w:sz w:val="24"/>
          <w:szCs w:val="24"/>
          <w:lang w:eastAsia="en-IE"/>
          <w14:ligatures w14:val="none"/>
        </w:rPr>
        <w:t xml:space="preserve">If you are interested in applying for a MSCA-IF with </w:t>
      </w:r>
      <w:r>
        <w:rPr>
          <w:rFonts w:ascii="Roboto" w:eastAsia="Times New Roman" w:hAnsi="Roboto" w:cs="Times New Roman"/>
          <w:color w:val="231F20"/>
          <w:kern w:val="0"/>
          <w:sz w:val="24"/>
          <w:szCs w:val="24"/>
          <w:lang w:eastAsia="en-IE"/>
          <w14:ligatures w14:val="none"/>
        </w:rPr>
        <w:t xml:space="preserve">the Irish Centre for Human Rights, </w:t>
      </w:r>
      <w:r w:rsidRPr="002B4B2F">
        <w:rPr>
          <w:rFonts w:ascii="Roboto" w:eastAsia="Times New Roman" w:hAnsi="Roboto" w:cs="Times New Roman"/>
          <w:color w:val="231F20"/>
          <w:kern w:val="0"/>
          <w:sz w:val="24"/>
          <w:szCs w:val="24"/>
          <w:lang w:eastAsia="en-IE"/>
          <w14:ligatures w14:val="none"/>
        </w:rPr>
        <w:t xml:space="preserve">please </w:t>
      </w:r>
      <w:r>
        <w:rPr>
          <w:rFonts w:ascii="Roboto" w:eastAsia="Times New Roman" w:hAnsi="Roboto" w:cs="Times New Roman"/>
          <w:color w:val="231F20"/>
          <w:kern w:val="0"/>
          <w:sz w:val="24"/>
          <w:szCs w:val="24"/>
          <w:lang w:eastAsia="en-IE"/>
          <w14:ligatures w14:val="none"/>
        </w:rPr>
        <w:t xml:space="preserve">contact a staff member, or email our Human Rights office: </w:t>
      </w:r>
      <w:hyperlink r:id="rId5" w:history="1">
        <w:r w:rsidRPr="005F5630">
          <w:rPr>
            <w:rStyle w:val="Hyperlink"/>
            <w:rFonts w:ascii="Roboto" w:eastAsia="Times New Roman" w:hAnsi="Roboto" w:cs="Times New Roman"/>
            <w:kern w:val="0"/>
            <w:sz w:val="24"/>
            <w:szCs w:val="24"/>
            <w:lang w:eastAsia="en-IE"/>
            <w14:ligatures w14:val="none"/>
          </w:rPr>
          <w:t>humanrights@universityofgalway.ie</w:t>
        </w:r>
      </w:hyperlink>
      <w:r>
        <w:rPr>
          <w:rFonts w:ascii="Roboto" w:eastAsia="Times New Roman" w:hAnsi="Roboto" w:cs="Times New Roman"/>
          <w:color w:val="231F20"/>
          <w:kern w:val="0"/>
          <w:sz w:val="24"/>
          <w:szCs w:val="24"/>
          <w:lang w:eastAsia="en-IE"/>
          <w14:ligatures w14:val="none"/>
        </w:rPr>
        <w:t xml:space="preserve">  </w:t>
      </w:r>
    </w:p>
    <w:p w14:paraId="7B83214C" w14:textId="1949B234" w:rsidR="001546F2" w:rsidRDefault="001546F2" w:rsidP="001546F2">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Pr>
          <w:rFonts w:ascii="Roboto" w:eastAsia="Times New Roman" w:hAnsi="Roboto" w:cs="Times New Roman"/>
          <w:color w:val="231F20"/>
          <w:kern w:val="0"/>
          <w:sz w:val="24"/>
          <w:szCs w:val="24"/>
          <w:lang w:eastAsia="en-IE"/>
          <w14:ligatures w14:val="none"/>
        </w:rPr>
        <w:t xml:space="preserve">Information on areas of research interest, staff profiles and email contacts are at: </w:t>
      </w:r>
      <w:r w:rsidRPr="002B4B2F">
        <w:t xml:space="preserve"> </w:t>
      </w:r>
      <w:hyperlink r:id="rId6" w:history="1">
        <w:r w:rsidRPr="005F5630">
          <w:rPr>
            <w:rStyle w:val="Hyperlink"/>
            <w:rFonts w:ascii="Roboto" w:eastAsia="Times New Roman" w:hAnsi="Roboto" w:cs="Times New Roman"/>
            <w:kern w:val="0"/>
            <w:sz w:val="24"/>
            <w:szCs w:val="24"/>
            <w:lang w:eastAsia="en-IE"/>
            <w14:ligatures w14:val="none"/>
          </w:rPr>
          <w:t>https://www.universityofgalway.ie/irish-centre-human-rights/staff/</w:t>
        </w:r>
      </w:hyperlink>
    </w:p>
    <w:p w14:paraId="792BA765" w14:textId="77777777" w:rsidR="001546F2" w:rsidRDefault="001546F2" w:rsidP="001546F2">
      <w:pPr>
        <w:shd w:val="clear" w:color="auto" w:fill="FFFFFF"/>
        <w:spacing w:after="195" w:line="240" w:lineRule="auto"/>
        <w:rPr>
          <w:rFonts w:ascii="Roboto" w:eastAsia="Times New Roman" w:hAnsi="Roboto" w:cs="Times New Roman"/>
          <w:color w:val="231F20"/>
          <w:kern w:val="0"/>
          <w:sz w:val="24"/>
          <w:szCs w:val="24"/>
          <w:lang w:eastAsia="en-IE"/>
          <w14:ligatures w14:val="none"/>
        </w:rPr>
      </w:pPr>
    </w:p>
    <w:p w14:paraId="3F031AF8" w14:textId="70A15AF7" w:rsidR="002B4B2F" w:rsidRPr="002B4B2F" w:rsidRDefault="002B4B2F" w:rsidP="001546F2">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2B4B2F">
        <w:rPr>
          <w:rFonts w:ascii="Roboto" w:eastAsia="Times New Roman" w:hAnsi="Roboto" w:cs="Times New Roman"/>
          <w:b/>
          <w:bCs/>
          <w:color w:val="231F20"/>
          <w:kern w:val="0"/>
          <w:sz w:val="24"/>
          <w:szCs w:val="24"/>
          <w:lang w:eastAsia="en-IE"/>
          <w14:ligatures w14:val="none"/>
        </w:rPr>
        <w:t>MSCA POSTDOCTORAL FELLOWSHIPS</w:t>
      </w:r>
    </w:p>
    <w:p w14:paraId="752E728F" w14:textId="77777777" w:rsidR="002B4B2F" w:rsidRPr="002B4B2F" w:rsidRDefault="002B4B2F" w:rsidP="002B4B2F">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2B4B2F">
        <w:rPr>
          <w:rFonts w:ascii="Roboto" w:eastAsia="Times New Roman" w:hAnsi="Roboto" w:cs="Times New Roman"/>
          <w:color w:val="231F20"/>
          <w:kern w:val="0"/>
          <w:sz w:val="24"/>
          <w:szCs w:val="24"/>
          <w:lang w:eastAsia="en-IE"/>
          <w14:ligatures w14:val="none"/>
        </w:rPr>
        <w:t>Funded by the European Commission under the Horizon Europe programme, MSCA Postdoctoral Fellowships are designed to enhance the creative and innovative potential of researchers through advanced training, international, interdisciplinary, and inter-sectoral mobility. Candidates must apply together with a mentor based in an eligible host institution.</w:t>
      </w:r>
    </w:p>
    <w:p w14:paraId="560B3CE1" w14:textId="77777777" w:rsidR="001546F2" w:rsidRPr="002B4B2F" w:rsidRDefault="001546F2" w:rsidP="001546F2">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Pr>
          <w:rFonts w:ascii="Roboto" w:eastAsia="Times New Roman" w:hAnsi="Roboto" w:cs="Times New Roman"/>
          <w:b/>
          <w:bCs/>
          <w:color w:val="231F20"/>
          <w:kern w:val="0"/>
          <w:sz w:val="24"/>
          <w:szCs w:val="24"/>
          <w:lang w:eastAsia="en-IE"/>
          <w14:ligatures w14:val="none"/>
        </w:rPr>
        <w:t xml:space="preserve">The Irish Centre for Human Rights </w:t>
      </w:r>
    </w:p>
    <w:p w14:paraId="082B703D" w14:textId="1BF427E0" w:rsidR="001546F2" w:rsidRDefault="001546F2" w:rsidP="001546F2">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D56572">
        <w:rPr>
          <w:rFonts w:ascii="Roboto" w:eastAsia="Times New Roman" w:hAnsi="Roboto" w:cs="Times New Roman"/>
          <w:color w:val="231F20"/>
          <w:kern w:val="0"/>
          <w:sz w:val="24"/>
          <w:szCs w:val="24"/>
          <w:lang w:eastAsia="en-IE"/>
          <w14:ligatures w14:val="none"/>
        </w:rPr>
        <w:t xml:space="preserve">The </w:t>
      </w:r>
      <w:r>
        <w:rPr>
          <w:rFonts w:ascii="Roboto" w:eastAsia="Times New Roman" w:hAnsi="Roboto" w:cs="Times New Roman"/>
          <w:color w:val="231F20"/>
          <w:kern w:val="0"/>
          <w:sz w:val="24"/>
          <w:szCs w:val="24"/>
          <w:lang w:eastAsia="en-IE"/>
          <w14:ligatures w14:val="none"/>
        </w:rPr>
        <w:t xml:space="preserve">Irish Centre for Human Rights </w:t>
      </w:r>
      <w:r w:rsidRPr="00D56572">
        <w:rPr>
          <w:rFonts w:ascii="Roboto" w:eastAsia="Times New Roman" w:hAnsi="Roboto" w:cs="Times New Roman"/>
          <w:color w:val="231F20"/>
          <w:kern w:val="0"/>
          <w:sz w:val="24"/>
          <w:szCs w:val="24"/>
          <w:lang w:eastAsia="en-IE"/>
          <w14:ligatures w14:val="none"/>
        </w:rPr>
        <w:t xml:space="preserve">has developed a global reputation for excellence in the field of human rights teaching, research and </w:t>
      </w:r>
      <w:r>
        <w:rPr>
          <w:rFonts w:ascii="Roboto" w:eastAsia="Times New Roman" w:hAnsi="Roboto" w:cs="Times New Roman"/>
          <w:color w:val="231F20"/>
          <w:kern w:val="0"/>
          <w:sz w:val="24"/>
          <w:szCs w:val="24"/>
          <w:lang w:eastAsia="en-IE"/>
          <w14:ligatures w14:val="none"/>
        </w:rPr>
        <w:t xml:space="preserve">policy impact. </w:t>
      </w:r>
      <w:r w:rsidRPr="002B4B2F">
        <w:rPr>
          <w:rFonts w:ascii="Roboto" w:eastAsia="Times New Roman" w:hAnsi="Roboto" w:cs="Times New Roman"/>
          <w:color w:val="231F20"/>
          <w:kern w:val="0"/>
          <w:sz w:val="24"/>
          <w:szCs w:val="24"/>
          <w:lang w:eastAsia="en-IE"/>
          <w14:ligatures w14:val="none"/>
        </w:rPr>
        <w:t xml:space="preserve">The </w:t>
      </w:r>
      <w:r>
        <w:rPr>
          <w:rFonts w:ascii="Roboto" w:eastAsia="Times New Roman" w:hAnsi="Roboto" w:cs="Times New Roman"/>
          <w:color w:val="231F20"/>
          <w:kern w:val="0"/>
          <w:sz w:val="24"/>
          <w:szCs w:val="24"/>
          <w:lang w:eastAsia="en-IE"/>
          <w14:ligatures w14:val="none"/>
        </w:rPr>
        <w:t xml:space="preserve">Centre </w:t>
      </w:r>
      <w:r w:rsidRPr="002B4B2F">
        <w:rPr>
          <w:rFonts w:ascii="Roboto" w:eastAsia="Times New Roman" w:hAnsi="Roboto" w:cs="Times New Roman"/>
          <w:color w:val="231F20"/>
          <w:kern w:val="0"/>
          <w:sz w:val="24"/>
          <w:szCs w:val="24"/>
          <w:lang w:eastAsia="en-IE"/>
          <w14:ligatures w14:val="none"/>
        </w:rPr>
        <w:t>has an exce</w:t>
      </w:r>
      <w:r>
        <w:rPr>
          <w:rFonts w:ascii="Roboto" w:eastAsia="Times New Roman" w:hAnsi="Roboto" w:cs="Times New Roman"/>
          <w:color w:val="231F20"/>
          <w:kern w:val="0"/>
          <w:sz w:val="24"/>
          <w:szCs w:val="24"/>
          <w:lang w:eastAsia="en-IE"/>
          <w14:ligatures w14:val="none"/>
        </w:rPr>
        <w:t xml:space="preserve">llent </w:t>
      </w:r>
      <w:r w:rsidRPr="002B4B2F">
        <w:rPr>
          <w:rFonts w:ascii="Roboto" w:eastAsia="Times New Roman" w:hAnsi="Roboto" w:cs="Times New Roman"/>
          <w:color w:val="231F20"/>
          <w:kern w:val="0"/>
          <w:sz w:val="24"/>
          <w:szCs w:val="24"/>
          <w:lang w:eastAsia="en-IE"/>
          <w14:ligatures w14:val="none"/>
        </w:rPr>
        <w:t xml:space="preserve">track record </w:t>
      </w:r>
      <w:r>
        <w:rPr>
          <w:rFonts w:ascii="Roboto" w:eastAsia="Times New Roman" w:hAnsi="Roboto" w:cs="Times New Roman"/>
          <w:color w:val="231F20"/>
          <w:kern w:val="0"/>
          <w:sz w:val="24"/>
          <w:szCs w:val="24"/>
          <w:lang w:eastAsia="en-IE"/>
          <w14:ligatures w14:val="none"/>
        </w:rPr>
        <w:t xml:space="preserve">of securing </w:t>
      </w:r>
      <w:r w:rsidRPr="002B4B2F">
        <w:rPr>
          <w:rFonts w:ascii="Roboto" w:eastAsia="Times New Roman" w:hAnsi="Roboto" w:cs="Times New Roman"/>
          <w:color w:val="231F20"/>
          <w:kern w:val="0"/>
          <w:sz w:val="24"/>
          <w:szCs w:val="24"/>
          <w:lang w:eastAsia="en-IE"/>
          <w14:ligatures w14:val="none"/>
        </w:rPr>
        <w:t xml:space="preserve">major </w:t>
      </w:r>
      <w:r>
        <w:rPr>
          <w:rFonts w:ascii="Roboto" w:eastAsia="Times New Roman" w:hAnsi="Roboto" w:cs="Times New Roman"/>
          <w:color w:val="231F20"/>
          <w:kern w:val="0"/>
          <w:sz w:val="24"/>
          <w:szCs w:val="24"/>
          <w:lang w:eastAsia="en-IE"/>
          <w14:ligatures w14:val="none"/>
        </w:rPr>
        <w:t xml:space="preserve">research </w:t>
      </w:r>
      <w:r w:rsidRPr="002B4B2F">
        <w:rPr>
          <w:rFonts w:ascii="Roboto" w:eastAsia="Times New Roman" w:hAnsi="Roboto" w:cs="Times New Roman"/>
          <w:color w:val="231F20"/>
          <w:kern w:val="0"/>
          <w:sz w:val="24"/>
          <w:szCs w:val="24"/>
          <w:lang w:eastAsia="en-IE"/>
          <w14:ligatures w14:val="none"/>
        </w:rPr>
        <w:t>grants from prestigious national and international funding agencies</w:t>
      </w:r>
      <w:r>
        <w:rPr>
          <w:rFonts w:ascii="Roboto" w:eastAsia="Times New Roman" w:hAnsi="Roboto" w:cs="Times New Roman"/>
          <w:color w:val="231F20"/>
          <w:kern w:val="0"/>
          <w:sz w:val="24"/>
          <w:szCs w:val="24"/>
          <w:lang w:eastAsia="en-IE"/>
          <w14:ligatures w14:val="none"/>
        </w:rPr>
        <w:t xml:space="preserve">, including the European Research Council, the EU Fundamental Rights Agency, Horizon Europe, </w:t>
      </w:r>
      <w:r w:rsidR="00C22CAB">
        <w:rPr>
          <w:rFonts w:ascii="Roboto" w:eastAsia="Times New Roman" w:hAnsi="Roboto" w:cs="Times New Roman"/>
          <w:color w:val="231F20"/>
          <w:kern w:val="0"/>
          <w:sz w:val="24"/>
          <w:szCs w:val="24"/>
          <w:lang w:eastAsia="en-IE"/>
          <w14:ligatures w14:val="none"/>
        </w:rPr>
        <w:t xml:space="preserve">Research Ireland, </w:t>
      </w:r>
      <w:r>
        <w:rPr>
          <w:rFonts w:ascii="Roboto" w:eastAsia="Times New Roman" w:hAnsi="Roboto" w:cs="Times New Roman"/>
          <w:color w:val="231F20"/>
          <w:kern w:val="0"/>
          <w:sz w:val="24"/>
          <w:szCs w:val="24"/>
          <w:lang w:eastAsia="en-IE"/>
          <w14:ligatures w14:val="none"/>
        </w:rPr>
        <w:t>UN agencies and others.</w:t>
      </w:r>
      <w:r w:rsidRPr="002B4B2F">
        <w:rPr>
          <w:rFonts w:ascii="Roboto" w:eastAsia="Times New Roman" w:hAnsi="Roboto" w:cs="Times New Roman"/>
          <w:color w:val="231F20"/>
          <w:kern w:val="0"/>
          <w:sz w:val="24"/>
          <w:szCs w:val="24"/>
          <w:lang w:eastAsia="en-IE"/>
          <w14:ligatures w14:val="none"/>
        </w:rPr>
        <w:t xml:space="preserve"> </w:t>
      </w:r>
    </w:p>
    <w:p w14:paraId="057D883D" w14:textId="77777777" w:rsidR="001546F2" w:rsidRPr="002B4B2F" w:rsidRDefault="001546F2" w:rsidP="001546F2">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Pr>
          <w:rFonts w:ascii="Roboto" w:eastAsia="Times New Roman" w:hAnsi="Roboto" w:cs="Times New Roman"/>
          <w:color w:val="231F20"/>
          <w:kern w:val="0"/>
          <w:sz w:val="24"/>
          <w:szCs w:val="24"/>
          <w:lang w:eastAsia="en-IE"/>
          <w14:ligatures w14:val="none"/>
        </w:rPr>
        <w:t xml:space="preserve">The Centre </w:t>
      </w:r>
      <w:r w:rsidRPr="002B4B2F">
        <w:rPr>
          <w:rFonts w:ascii="Roboto" w:eastAsia="Times New Roman" w:hAnsi="Roboto" w:cs="Times New Roman"/>
          <w:color w:val="231F20"/>
          <w:kern w:val="0"/>
          <w:sz w:val="24"/>
          <w:szCs w:val="24"/>
          <w:lang w:eastAsia="en-IE"/>
          <w14:ligatures w14:val="none"/>
        </w:rPr>
        <w:t xml:space="preserve">has a thriving </w:t>
      </w:r>
      <w:r>
        <w:rPr>
          <w:rFonts w:ascii="Roboto" w:eastAsia="Times New Roman" w:hAnsi="Roboto" w:cs="Times New Roman"/>
          <w:color w:val="231F20"/>
          <w:kern w:val="0"/>
          <w:sz w:val="24"/>
          <w:szCs w:val="24"/>
          <w:lang w:eastAsia="en-IE"/>
          <w14:ligatures w14:val="none"/>
        </w:rPr>
        <w:t xml:space="preserve">research </w:t>
      </w:r>
      <w:r w:rsidRPr="002B4B2F">
        <w:rPr>
          <w:rFonts w:ascii="Roboto" w:eastAsia="Times New Roman" w:hAnsi="Roboto" w:cs="Times New Roman"/>
          <w:color w:val="231F20"/>
          <w:kern w:val="0"/>
          <w:sz w:val="24"/>
          <w:szCs w:val="24"/>
          <w:lang w:eastAsia="en-IE"/>
          <w14:ligatures w14:val="none"/>
        </w:rPr>
        <w:t>community</w:t>
      </w:r>
      <w:r>
        <w:rPr>
          <w:rFonts w:ascii="Roboto" w:eastAsia="Times New Roman" w:hAnsi="Roboto" w:cs="Times New Roman"/>
          <w:color w:val="231F20"/>
          <w:kern w:val="0"/>
          <w:sz w:val="24"/>
          <w:szCs w:val="24"/>
          <w:lang w:eastAsia="en-IE"/>
          <w14:ligatures w14:val="none"/>
        </w:rPr>
        <w:t xml:space="preserve">, bringing together doctoral and post-doctoral researchers from across the globe. We host </w:t>
      </w:r>
      <w:r w:rsidRPr="002B4B2F">
        <w:rPr>
          <w:rFonts w:ascii="Roboto" w:eastAsia="Times New Roman" w:hAnsi="Roboto" w:cs="Times New Roman"/>
          <w:color w:val="231F20"/>
          <w:kern w:val="0"/>
          <w:sz w:val="24"/>
          <w:szCs w:val="24"/>
          <w:lang w:eastAsia="en-IE"/>
          <w14:ligatures w14:val="none"/>
        </w:rPr>
        <w:t>regular research workshops</w:t>
      </w:r>
      <w:r>
        <w:rPr>
          <w:rFonts w:ascii="Roboto" w:eastAsia="Times New Roman" w:hAnsi="Roboto" w:cs="Times New Roman"/>
          <w:color w:val="231F20"/>
          <w:kern w:val="0"/>
          <w:sz w:val="24"/>
          <w:szCs w:val="24"/>
          <w:lang w:eastAsia="en-IE"/>
          <w14:ligatures w14:val="none"/>
        </w:rPr>
        <w:t xml:space="preserve">, seminars </w:t>
      </w:r>
      <w:r w:rsidRPr="002B4B2F">
        <w:rPr>
          <w:rFonts w:ascii="Roboto" w:eastAsia="Times New Roman" w:hAnsi="Roboto" w:cs="Times New Roman"/>
          <w:color w:val="231F20"/>
          <w:kern w:val="0"/>
          <w:sz w:val="24"/>
          <w:szCs w:val="24"/>
          <w:lang w:eastAsia="en-IE"/>
          <w14:ligatures w14:val="none"/>
        </w:rPr>
        <w:t xml:space="preserve">and conferences. The </w:t>
      </w:r>
      <w:r>
        <w:rPr>
          <w:rFonts w:ascii="Roboto" w:eastAsia="Times New Roman" w:hAnsi="Roboto" w:cs="Times New Roman"/>
          <w:color w:val="231F20"/>
          <w:kern w:val="0"/>
          <w:sz w:val="24"/>
          <w:szCs w:val="24"/>
          <w:lang w:eastAsia="en-IE"/>
          <w14:ligatures w14:val="none"/>
        </w:rPr>
        <w:t xml:space="preserve">Centre has a global network of alumni and research collaborations with partners at international organisations, civil society and UN bodies. </w:t>
      </w:r>
    </w:p>
    <w:p w14:paraId="156F79B0" w14:textId="77777777" w:rsidR="001546F2" w:rsidRDefault="001546F2" w:rsidP="002B4B2F">
      <w:pPr>
        <w:shd w:val="clear" w:color="auto" w:fill="FFFFFF"/>
        <w:spacing w:after="195" w:line="240" w:lineRule="auto"/>
        <w:rPr>
          <w:rFonts w:ascii="Roboto" w:eastAsia="Times New Roman" w:hAnsi="Roboto" w:cs="Times New Roman"/>
          <w:b/>
          <w:bCs/>
          <w:color w:val="231F20"/>
          <w:kern w:val="0"/>
          <w:sz w:val="24"/>
          <w:szCs w:val="24"/>
          <w:lang w:eastAsia="en-IE"/>
          <w14:ligatures w14:val="none"/>
        </w:rPr>
      </w:pPr>
    </w:p>
    <w:p w14:paraId="65E34DF4" w14:textId="28C704D3" w:rsidR="002B4B2F" w:rsidRPr="002B4B2F" w:rsidRDefault="002B4B2F" w:rsidP="002B4B2F">
      <w:pPr>
        <w:shd w:val="clear" w:color="auto" w:fill="FFFFFF"/>
        <w:spacing w:after="195" w:line="240" w:lineRule="auto"/>
        <w:rPr>
          <w:rFonts w:ascii="Roboto" w:eastAsia="Times New Roman" w:hAnsi="Roboto" w:cs="Times New Roman"/>
          <w:color w:val="231F20"/>
          <w:kern w:val="0"/>
          <w:sz w:val="24"/>
          <w:szCs w:val="24"/>
          <w:lang w:eastAsia="en-IE"/>
          <w14:ligatures w14:val="none"/>
        </w:rPr>
      </w:pPr>
    </w:p>
    <w:p w14:paraId="5C327D07" w14:textId="77777777" w:rsidR="002B4B2F" w:rsidRPr="002B4B2F" w:rsidRDefault="002B4B2F" w:rsidP="002B4B2F">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2B4B2F">
        <w:rPr>
          <w:rFonts w:ascii="Roboto" w:eastAsia="Times New Roman" w:hAnsi="Roboto" w:cs="Times New Roman"/>
          <w:b/>
          <w:bCs/>
          <w:color w:val="231F20"/>
          <w:kern w:val="0"/>
          <w:sz w:val="24"/>
          <w:szCs w:val="24"/>
          <w:lang w:eastAsia="en-IE"/>
          <w14:ligatures w14:val="none"/>
        </w:rPr>
        <w:lastRenderedPageBreak/>
        <w:t>TYPES OF FELLOWSHIPS</w:t>
      </w:r>
    </w:p>
    <w:p w14:paraId="075CB782" w14:textId="77777777" w:rsidR="002B4B2F" w:rsidRDefault="002B4B2F" w:rsidP="002B4B2F">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2B4B2F">
        <w:rPr>
          <w:rFonts w:ascii="Roboto" w:eastAsia="Times New Roman" w:hAnsi="Roboto" w:cs="Times New Roman"/>
          <w:b/>
          <w:bCs/>
          <w:color w:val="231F20"/>
          <w:kern w:val="0"/>
          <w:sz w:val="24"/>
          <w:szCs w:val="24"/>
          <w:lang w:eastAsia="en-IE"/>
          <w14:ligatures w14:val="none"/>
        </w:rPr>
        <w:t>European Fellowships</w:t>
      </w:r>
      <w:r w:rsidRPr="002B4B2F">
        <w:rPr>
          <w:rFonts w:ascii="Roboto" w:eastAsia="Times New Roman" w:hAnsi="Roboto" w:cs="Times New Roman"/>
          <w:color w:val="231F20"/>
          <w:kern w:val="0"/>
          <w:sz w:val="24"/>
          <w:szCs w:val="24"/>
          <w:lang w:eastAsia="en-IE"/>
          <w14:ligatures w14:val="none"/>
        </w:rPr>
        <w:t xml:space="preserve">: </w:t>
      </w:r>
    </w:p>
    <w:p w14:paraId="17F36B42" w14:textId="2F85E6FD" w:rsidR="002B4B2F" w:rsidRPr="002B4B2F" w:rsidRDefault="002B4B2F" w:rsidP="002B4B2F">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2B4B2F">
        <w:rPr>
          <w:rFonts w:ascii="Roboto" w:eastAsia="Times New Roman" w:hAnsi="Roboto" w:cs="Times New Roman"/>
          <w:color w:val="231F20"/>
          <w:kern w:val="0"/>
          <w:sz w:val="24"/>
          <w:szCs w:val="24"/>
          <w:lang w:eastAsia="en-IE"/>
          <w14:ligatures w14:val="none"/>
        </w:rPr>
        <w:t xml:space="preserve">Open to researchers of any nationality moving to </w:t>
      </w:r>
      <w:r>
        <w:rPr>
          <w:rFonts w:ascii="Roboto" w:eastAsia="Times New Roman" w:hAnsi="Roboto" w:cs="Times New Roman"/>
          <w:color w:val="231F20"/>
          <w:kern w:val="0"/>
          <w:sz w:val="24"/>
          <w:szCs w:val="24"/>
          <w:lang w:eastAsia="en-IE"/>
          <w14:ligatures w14:val="none"/>
        </w:rPr>
        <w:t xml:space="preserve">Ireland </w:t>
      </w:r>
      <w:r w:rsidRPr="002B4B2F">
        <w:rPr>
          <w:rFonts w:ascii="Roboto" w:eastAsia="Times New Roman" w:hAnsi="Roboto" w:cs="Times New Roman"/>
          <w:color w:val="231F20"/>
          <w:kern w:val="0"/>
          <w:sz w:val="24"/>
          <w:szCs w:val="24"/>
          <w:lang w:eastAsia="en-IE"/>
          <w14:ligatures w14:val="none"/>
        </w:rPr>
        <w:t>from abroad.</w:t>
      </w:r>
    </w:p>
    <w:p w14:paraId="4DE5FD58" w14:textId="77777777" w:rsidR="002B4B2F" w:rsidRPr="002B4B2F" w:rsidRDefault="002B4B2F" w:rsidP="002B4B2F">
      <w:pPr>
        <w:shd w:val="clear" w:color="auto" w:fill="FFFFFF"/>
        <w:spacing w:after="195" w:line="240" w:lineRule="auto"/>
        <w:rPr>
          <w:rFonts w:ascii="Roboto" w:eastAsia="Times New Roman" w:hAnsi="Roboto" w:cs="Times New Roman"/>
          <w:b/>
          <w:bCs/>
          <w:color w:val="231F20"/>
          <w:kern w:val="0"/>
          <w:sz w:val="24"/>
          <w:szCs w:val="24"/>
          <w:lang w:eastAsia="en-IE"/>
          <w14:ligatures w14:val="none"/>
        </w:rPr>
      </w:pPr>
      <w:r w:rsidRPr="002B4B2F">
        <w:rPr>
          <w:rFonts w:ascii="Roboto" w:eastAsia="Times New Roman" w:hAnsi="Roboto" w:cs="Times New Roman"/>
          <w:b/>
          <w:bCs/>
          <w:color w:val="231F20"/>
          <w:kern w:val="0"/>
          <w:sz w:val="24"/>
          <w:szCs w:val="24"/>
          <w:lang w:eastAsia="en-IE"/>
          <w14:ligatures w14:val="none"/>
        </w:rPr>
        <w:t xml:space="preserve">Global Fellowships: </w:t>
      </w:r>
    </w:p>
    <w:p w14:paraId="70668429" w14:textId="1347F2C6" w:rsidR="002B4B2F" w:rsidRDefault="002B4B2F" w:rsidP="002B4B2F">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2B4B2F">
        <w:rPr>
          <w:rFonts w:ascii="Roboto" w:eastAsia="Times New Roman" w:hAnsi="Roboto" w:cs="Times New Roman"/>
          <w:color w:val="231F20"/>
          <w:kern w:val="0"/>
          <w:sz w:val="24"/>
          <w:szCs w:val="24"/>
          <w:lang w:eastAsia="en-IE"/>
          <w14:ligatures w14:val="none"/>
        </w:rPr>
        <w:t xml:space="preserve">Open to nationals or long-term residents of the EU Member States or Horizon Europe Associated Countries who wish to engage in research outside Europe before completing a final year at </w:t>
      </w:r>
      <w:r>
        <w:rPr>
          <w:rFonts w:ascii="Roboto" w:eastAsia="Times New Roman" w:hAnsi="Roboto" w:cs="Times New Roman"/>
          <w:color w:val="231F20"/>
          <w:kern w:val="0"/>
          <w:sz w:val="24"/>
          <w:szCs w:val="24"/>
          <w:lang w:eastAsia="en-IE"/>
          <w14:ligatures w14:val="none"/>
        </w:rPr>
        <w:t xml:space="preserve">the Irish Centre for Human Rights. (Note: The </w:t>
      </w:r>
      <w:r w:rsidRPr="002B4B2F">
        <w:rPr>
          <w:rFonts w:ascii="Roboto" w:eastAsia="Times New Roman" w:hAnsi="Roboto" w:cs="Times New Roman"/>
          <w:color w:val="231F20"/>
          <w:kern w:val="0"/>
          <w:sz w:val="24"/>
          <w:szCs w:val="24"/>
          <w:lang w:eastAsia="en-IE"/>
          <w14:ligatures w14:val="none"/>
        </w:rPr>
        <w:t>UK is now considered an Associated Country.</w:t>
      </w:r>
      <w:r>
        <w:rPr>
          <w:rFonts w:ascii="Roboto" w:eastAsia="Times New Roman" w:hAnsi="Roboto" w:cs="Times New Roman"/>
          <w:color w:val="231F20"/>
          <w:kern w:val="0"/>
          <w:sz w:val="24"/>
          <w:szCs w:val="24"/>
          <w:lang w:eastAsia="en-IE"/>
          <w14:ligatures w14:val="none"/>
        </w:rPr>
        <w:t>)</w:t>
      </w:r>
    </w:p>
    <w:p w14:paraId="4C481C8E" w14:textId="77777777" w:rsidR="000C6B1E" w:rsidRPr="000C6B1E" w:rsidRDefault="000C6B1E" w:rsidP="000C6B1E">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0C6B1E">
        <w:rPr>
          <w:rFonts w:ascii="Roboto" w:eastAsia="Times New Roman" w:hAnsi="Roboto" w:cs="Times New Roman"/>
          <w:color w:val="231F20"/>
          <w:kern w:val="0"/>
          <w:sz w:val="24"/>
          <w:szCs w:val="24"/>
          <w:lang w:eastAsia="en-IE"/>
          <w14:ligatures w14:val="none"/>
        </w:rPr>
        <w:t>Both types of fellowships may also include short-term secondments anywhere in the world during the fellowship (except during the return phase of a Global Fellowship).</w:t>
      </w:r>
    </w:p>
    <w:p w14:paraId="6570C3BF" w14:textId="0BC48B02" w:rsidR="000C6B1E" w:rsidRPr="002B4B2F" w:rsidRDefault="000C6B1E" w:rsidP="000C6B1E">
      <w:pPr>
        <w:shd w:val="clear" w:color="auto" w:fill="FFFFFF"/>
        <w:spacing w:after="195" w:line="240" w:lineRule="auto"/>
        <w:rPr>
          <w:rFonts w:ascii="Roboto" w:eastAsia="Times New Roman" w:hAnsi="Roboto" w:cs="Times New Roman"/>
          <w:color w:val="231F20"/>
          <w:kern w:val="0"/>
          <w:sz w:val="24"/>
          <w:szCs w:val="24"/>
          <w:lang w:eastAsia="en-IE"/>
          <w14:ligatures w14:val="none"/>
        </w:rPr>
      </w:pPr>
      <w:proofErr w:type="gramStart"/>
      <w:r w:rsidRPr="000C6B1E">
        <w:rPr>
          <w:rFonts w:ascii="Roboto" w:eastAsia="Times New Roman" w:hAnsi="Roboto" w:cs="Times New Roman"/>
          <w:color w:val="231F20"/>
          <w:kern w:val="0"/>
          <w:sz w:val="24"/>
          <w:szCs w:val="24"/>
          <w:lang w:eastAsia="en-IE"/>
          <w14:ligatures w14:val="none"/>
        </w:rPr>
        <w:t>In an effort to</w:t>
      </w:r>
      <w:proofErr w:type="gramEnd"/>
      <w:r w:rsidRPr="000C6B1E">
        <w:rPr>
          <w:rFonts w:ascii="Roboto" w:eastAsia="Times New Roman" w:hAnsi="Roboto" w:cs="Times New Roman"/>
          <w:color w:val="231F20"/>
          <w:kern w:val="0"/>
          <w:sz w:val="24"/>
          <w:szCs w:val="24"/>
          <w:lang w:eastAsia="en-IE"/>
          <w14:ligatures w14:val="none"/>
        </w:rPr>
        <w:t xml:space="preserve"> build bridges between the academic and non-academic sector, researchers can receive additional support to carry out a placement of up to 6 months in a non-academic organisation based in an EU Member State or Horizon Europe Associated Country. This placement needs to take place at the end of their fellowship.</w:t>
      </w:r>
    </w:p>
    <w:p w14:paraId="349CE405" w14:textId="77777777" w:rsidR="002B4B2F" w:rsidRPr="002B4B2F" w:rsidRDefault="002B4B2F" w:rsidP="002B4B2F">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2B4B2F">
        <w:rPr>
          <w:rFonts w:ascii="Roboto" w:eastAsia="Times New Roman" w:hAnsi="Roboto" w:cs="Times New Roman"/>
          <w:b/>
          <w:bCs/>
          <w:color w:val="231F20"/>
          <w:kern w:val="0"/>
          <w:sz w:val="24"/>
          <w:szCs w:val="24"/>
          <w:lang w:eastAsia="en-IE"/>
          <w14:ligatures w14:val="none"/>
        </w:rPr>
        <w:t>WHO CAN APPLY? MARIE-CURIE POSTDOCTORAL FELLOWSHIP ELIGIBILITY</w:t>
      </w:r>
    </w:p>
    <w:p w14:paraId="01E460D9" w14:textId="15892538" w:rsidR="002B4B2F" w:rsidRPr="002B4B2F" w:rsidRDefault="002B4B2F" w:rsidP="002B4B2F">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2B4B2F">
        <w:rPr>
          <w:rFonts w:ascii="Roboto" w:eastAsia="Times New Roman" w:hAnsi="Roboto" w:cs="Times New Roman"/>
          <w:color w:val="231F20"/>
          <w:kern w:val="0"/>
          <w:sz w:val="24"/>
          <w:szCs w:val="24"/>
          <w:lang w:eastAsia="en-IE"/>
          <w14:ligatures w14:val="none"/>
        </w:rPr>
        <w:t xml:space="preserve">Experienced Researchers:  Researchers must have </w:t>
      </w:r>
      <w:r w:rsidR="00D529D4">
        <w:rPr>
          <w:rFonts w:ascii="Roboto" w:eastAsia="Times New Roman" w:hAnsi="Roboto" w:cs="Times New Roman"/>
          <w:color w:val="231F20"/>
          <w:kern w:val="0"/>
          <w:sz w:val="24"/>
          <w:szCs w:val="24"/>
          <w:lang w:eastAsia="en-IE"/>
          <w14:ligatures w14:val="none"/>
        </w:rPr>
        <w:t xml:space="preserve">completed </w:t>
      </w:r>
      <w:r w:rsidRPr="002B4B2F">
        <w:rPr>
          <w:rFonts w:ascii="Roboto" w:eastAsia="Times New Roman" w:hAnsi="Roboto" w:cs="Times New Roman"/>
          <w:color w:val="231F20"/>
          <w:kern w:val="0"/>
          <w:sz w:val="24"/>
          <w:szCs w:val="24"/>
          <w:lang w:eastAsia="en-IE"/>
          <w14:ligatures w14:val="none"/>
        </w:rPr>
        <w:t>a PhD at the call deadline and have max. 8 years’ research experience post-PhD.  Years of experience outside research and career breaks (e.g. parental leave) can extend the timeline.</w:t>
      </w:r>
    </w:p>
    <w:p w14:paraId="31640DD2" w14:textId="4353452C" w:rsidR="002B4B2F" w:rsidRPr="002B4B2F" w:rsidRDefault="002B4B2F" w:rsidP="002B4B2F">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2B4B2F">
        <w:rPr>
          <w:rFonts w:ascii="Roboto" w:eastAsia="Times New Roman" w:hAnsi="Roboto" w:cs="Times New Roman"/>
          <w:b/>
          <w:bCs/>
          <w:color w:val="231F20"/>
          <w:kern w:val="0"/>
          <w:sz w:val="24"/>
          <w:szCs w:val="24"/>
          <w:lang w:eastAsia="en-IE"/>
          <w14:ligatures w14:val="none"/>
        </w:rPr>
        <w:t>Mobility Rule: </w:t>
      </w:r>
      <w:r w:rsidRPr="002B4B2F">
        <w:rPr>
          <w:rFonts w:ascii="Roboto" w:eastAsia="Times New Roman" w:hAnsi="Roboto" w:cs="Times New Roman"/>
          <w:color w:val="231F20"/>
          <w:kern w:val="0"/>
          <w:sz w:val="24"/>
          <w:szCs w:val="24"/>
          <w:lang w:eastAsia="en-IE"/>
          <w14:ligatures w14:val="none"/>
        </w:rPr>
        <w:t>Applicants cannot apply for a fellowship in a country where they have lived or carried out their main activity for &gt;12 months (&gt;365 days) in the 3 years before the call deadline.</w:t>
      </w:r>
    </w:p>
    <w:p w14:paraId="6672F27A" w14:textId="77777777" w:rsidR="002B4B2F" w:rsidRPr="002B4B2F" w:rsidRDefault="002B4B2F" w:rsidP="002B4B2F">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2B4B2F">
        <w:rPr>
          <w:rFonts w:ascii="Roboto" w:eastAsia="Times New Roman" w:hAnsi="Roboto" w:cs="Times New Roman"/>
          <w:color w:val="231F20"/>
          <w:kern w:val="0"/>
          <w:sz w:val="24"/>
          <w:szCs w:val="24"/>
          <w:lang w:eastAsia="en-IE"/>
          <w14:ligatures w14:val="none"/>
        </w:rPr>
        <w:t> </w:t>
      </w:r>
    </w:p>
    <w:p w14:paraId="62CD2436" w14:textId="208F8CDF" w:rsidR="002B4B2F" w:rsidRPr="002B4B2F" w:rsidRDefault="002B4B2F" w:rsidP="002B4B2F">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Pr>
          <w:rFonts w:ascii="Roboto" w:eastAsia="Times New Roman" w:hAnsi="Roboto" w:cs="Times New Roman"/>
          <w:b/>
          <w:bCs/>
          <w:color w:val="231F20"/>
          <w:kern w:val="0"/>
          <w:sz w:val="24"/>
          <w:szCs w:val="24"/>
          <w:lang w:eastAsia="en-IE"/>
          <w14:ligatures w14:val="none"/>
        </w:rPr>
        <w:t>Value of a</w:t>
      </w:r>
      <w:r w:rsidRPr="002B4B2F">
        <w:rPr>
          <w:rFonts w:ascii="Roboto" w:eastAsia="Times New Roman" w:hAnsi="Roboto" w:cs="Times New Roman"/>
          <w:b/>
          <w:bCs/>
          <w:color w:val="231F20"/>
          <w:kern w:val="0"/>
          <w:sz w:val="24"/>
          <w:szCs w:val="24"/>
          <w:lang w:eastAsia="en-IE"/>
          <w14:ligatures w14:val="none"/>
        </w:rPr>
        <w:t xml:space="preserve"> MARIE-CURIE POSTDOCTORAL FELLOWSHIP?</w:t>
      </w:r>
    </w:p>
    <w:p w14:paraId="72F3090D" w14:textId="77777777" w:rsidR="002B4B2F" w:rsidRPr="002B4B2F" w:rsidRDefault="002B4B2F" w:rsidP="002B4B2F">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2B4B2F">
        <w:rPr>
          <w:rFonts w:ascii="Roboto" w:eastAsia="Times New Roman" w:hAnsi="Roboto" w:cs="Times New Roman"/>
          <w:color w:val="231F20"/>
          <w:kern w:val="0"/>
          <w:sz w:val="24"/>
          <w:szCs w:val="24"/>
          <w:lang w:eastAsia="en-IE"/>
          <w14:ligatures w14:val="none"/>
        </w:rPr>
        <w:t>Fellowships are to the value of €5,080 per month gross (depending on the host country), plus €600 mobility allowance and (if applicable) a €660 family allowance, as well as management and indirect costs (overheads).</w:t>
      </w:r>
    </w:p>
    <w:p w14:paraId="1DF479B7" w14:textId="0383DEB3" w:rsidR="001546F2" w:rsidRPr="001546F2" w:rsidRDefault="001546F2" w:rsidP="001546F2">
      <w:pPr>
        <w:shd w:val="clear" w:color="auto" w:fill="FFFFFF"/>
        <w:spacing w:after="195" w:line="240" w:lineRule="auto"/>
        <w:rPr>
          <w:rFonts w:ascii="Roboto" w:eastAsia="Times New Roman" w:hAnsi="Roboto" w:cs="Times New Roman"/>
          <w:b/>
          <w:bCs/>
          <w:color w:val="231F20"/>
          <w:kern w:val="0"/>
          <w:sz w:val="24"/>
          <w:szCs w:val="24"/>
          <w:lang w:eastAsia="en-IE"/>
          <w14:ligatures w14:val="none"/>
        </w:rPr>
      </w:pPr>
      <w:r w:rsidRPr="001546F2">
        <w:rPr>
          <w:rFonts w:ascii="Roboto" w:eastAsia="Times New Roman" w:hAnsi="Roboto" w:cs="Times New Roman"/>
          <w:b/>
          <w:bCs/>
          <w:color w:val="231F20"/>
          <w:kern w:val="0"/>
          <w:sz w:val="24"/>
          <w:szCs w:val="24"/>
          <w:lang w:eastAsia="en-IE"/>
          <w14:ligatures w14:val="none"/>
        </w:rPr>
        <w:t>Indicative timeline</w:t>
      </w:r>
      <w:r w:rsidR="007B53C6">
        <w:rPr>
          <w:rFonts w:ascii="Roboto" w:eastAsia="Times New Roman" w:hAnsi="Roboto" w:cs="Times New Roman"/>
          <w:b/>
          <w:bCs/>
          <w:color w:val="231F20"/>
          <w:kern w:val="0"/>
          <w:sz w:val="24"/>
          <w:szCs w:val="24"/>
          <w:lang w:eastAsia="en-IE"/>
          <w14:ligatures w14:val="none"/>
        </w:rPr>
        <w:t xml:space="preserve"> – see further: </w:t>
      </w:r>
      <w:hyperlink r:id="rId7" w:history="1">
        <w:r w:rsidR="007B53C6" w:rsidRPr="006877B5">
          <w:rPr>
            <w:rStyle w:val="Hyperlink"/>
            <w:rFonts w:ascii="Roboto" w:eastAsia="Times New Roman" w:hAnsi="Roboto" w:cs="Times New Roman"/>
            <w:b/>
            <w:bCs/>
            <w:kern w:val="0"/>
            <w:sz w:val="24"/>
            <w:szCs w:val="24"/>
            <w:lang w:eastAsia="en-IE"/>
            <w14:ligatures w14:val="none"/>
          </w:rPr>
          <w:t>https://marie-sklodowska-curie-actions.ec.europa.eu/actions/postdoctoral-fellowships</w:t>
        </w:r>
      </w:hyperlink>
      <w:r w:rsidR="007B53C6">
        <w:rPr>
          <w:rFonts w:ascii="Roboto" w:eastAsia="Times New Roman" w:hAnsi="Roboto" w:cs="Times New Roman"/>
          <w:b/>
          <w:bCs/>
          <w:color w:val="231F20"/>
          <w:kern w:val="0"/>
          <w:sz w:val="24"/>
          <w:szCs w:val="24"/>
          <w:lang w:eastAsia="en-IE"/>
          <w14:ligatures w14:val="none"/>
        </w:rPr>
        <w:t xml:space="preserve"> </w:t>
      </w:r>
    </w:p>
    <w:p w14:paraId="337F3FC4" w14:textId="6A3CD47D" w:rsidR="001546F2" w:rsidRPr="001546F2" w:rsidRDefault="001546F2" w:rsidP="001546F2">
      <w:pPr>
        <w:shd w:val="clear" w:color="auto" w:fill="FFFFFF"/>
        <w:spacing w:after="195" w:line="240" w:lineRule="auto"/>
        <w:rPr>
          <w:rFonts w:ascii="Roboto" w:eastAsia="Times New Roman" w:hAnsi="Roboto" w:cs="Times New Roman"/>
          <w:color w:val="231F20"/>
          <w:kern w:val="0"/>
          <w:sz w:val="24"/>
          <w:szCs w:val="24"/>
          <w:lang w:eastAsia="en-IE"/>
          <w14:ligatures w14:val="none"/>
        </w:rPr>
      </w:pPr>
    </w:p>
    <w:p w14:paraId="33BE1B38" w14:textId="77777777" w:rsidR="001546F2" w:rsidRPr="001546F2" w:rsidRDefault="001546F2" w:rsidP="001546F2">
      <w:pPr>
        <w:shd w:val="clear" w:color="auto" w:fill="FFFFFF"/>
        <w:spacing w:after="195" w:line="240" w:lineRule="auto"/>
        <w:rPr>
          <w:rFonts w:ascii="Roboto" w:eastAsia="Times New Roman" w:hAnsi="Roboto" w:cs="Times New Roman"/>
          <w:b/>
          <w:bCs/>
          <w:color w:val="231F20"/>
          <w:kern w:val="0"/>
          <w:sz w:val="24"/>
          <w:szCs w:val="24"/>
          <w:lang w:eastAsia="en-IE"/>
          <w14:ligatures w14:val="none"/>
        </w:rPr>
      </w:pPr>
      <w:r w:rsidRPr="001546F2">
        <w:rPr>
          <w:rFonts w:ascii="Roboto" w:eastAsia="Times New Roman" w:hAnsi="Roboto" w:cs="Times New Roman"/>
          <w:b/>
          <w:bCs/>
          <w:color w:val="231F20"/>
          <w:kern w:val="0"/>
          <w:sz w:val="24"/>
          <w:szCs w:val="24"/>
          <w:lang w:eastAsia="en-IE"/>
          <w14:ligatures w14:val="none"/>
        </w:rPr>
        <w:t>Indicative budget</w:t>
      </w:r>
    </w:p>
    <w:p w14:paraId="1F270518" w14:textId="1A65FA82" w:rsidR="001546F2" w:rsidRPr="001546F2" w:rsidRDefault="001546F2" w:rsidP="001546F2">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sidRPr="001546F2">
        <w:rPr>
          <w:rFonts w:ascii="Roboto" w:eastAsia="Times New Roman" w:hAnsi="Roboto" w:cs="Times New Roman"/>
          <w:color w:val="231F20"/>
          <w:kern w:val="0"/>
          <w:sz w:val="24"/>
          <w:szCs w:val="24"/>
          <w:lang w:eastAsia="en-IE"/>
          <w14:ligatures w14:val="none"/>
        </w:rPr>
        <w:t>EUR 417.18 million</w:t>
      </w:r>
    </w:p>
    <w:p w14:paraId="77816FFF" w14:textId="5B95ED95" w:rsidR="001546F2" w:rsidRPr="001546F2" w:rsidRDefault="001546F2" w:rsidP="001546F2">
      <w:pPr>
        <w:shd w:val="clear" w:color="auto" w:fill="FFFFFF"/>
        <w:spacing w:after="195" w:line="240" w:lineRule="auto"/>
        <w:rPr>
          <w:rFonts w:ascii="Roboto" w:eastAsia="Times New Roman" w:hAnsi="Roboto" w:cs="Times New Roman"/>
          <w:b/>
          <w:bCs/>
          <w:color w:val="231F20"/>
          <w:kern w:val="0"/>
          <w:sz w:val="24"/>
          <w:szCs w:val="24"/>
          <w:lang w:eastAsia="en-IE"/>
          <w14:ligatures w14:val="none"/>
        </w:rPr>
      </w:pPr>
      <w:r w:rsidRPr="001546F2">
        <w:rPr>
          <w:rFonts w:ascii="Roboto" w:eastAsia="Times New Roman" w:hAnsi="Roboto" w:cs="Times New Roman"/>
          <w:b/>
          <w:bCs/>
          <w:color w:val="231F20"/>
          <w:kern w:val="0"/>
          <w:sz w:val="24"/>
          <w:szCs w:val="24"/>
          <w:lang w:eastAsia="en-IE"/>
          <w14:ligatures w14:val="none"/>
        </w:rPr>
        <w:t>How to apply</w:t>
      </w:r>
    </w:p>
    <w:p w14:paraId="1F091F38" w14:textId="63C7C022" w:rsidR="001546F2" w:rsidRDefault="001546F2" w:rsidP="001546F2">
      <w:pPr>
        <w:shd w:val="clear" w:color="auto" w:fill="FFFFFF"/>
        <w:spacing w:after="195" w:line="240" w:lineRule="auto"/>
        <w:rPr>
          <w:rFonts w:ascii="Roboto" w:eastAsia="Times New Roman" w:hAnsi="Roboto" w:cs="Times New Roman"/>
          <w:color w:val="231F20"/>
          <w:kern w:val="0"/>
          <w:sz w:val="24"/>
          <w:szCs w:val="24"/>
          <w:lang w:eastAsia="en-IE"/>
          <w14:ligatures w14:val="none"/>
        </w:rPr>
      </w:pPr>
      <w:r>
        <w:rPr>
          <w:rFonts w:ascii="Roboto" w:eastAsia="Times New Roman" w:hAnsi="Roboto" w:cs="Times New Roman"/>
          <w:color w:val="231F20"/>
          <w:kern w:val="0"/>
          <w:sz w:val="24"/>
          <w:szCs w:val="24"/>
          <w:lang w:eastAsia="en-IE"/>
          <w14:ligatures w14:val="none"/>
        </w:rPr>
        <w:t xml:space="preserve">See: </w:t>
      </w:r>
      <w:hyperlink r:id="rId8" w:history="1">
        <w:r>
          <w:rPr>
            <w:rStyle w:val="Hyperlink"/>
          </w:rPr>
          <w:t xml:space="preserve">How to apply | Marie </w:t>
        </w:r>
        <w:proofErr w:type="spellStart"/>
        <w:r>
          <w:rPr>
            <w:rStyle w:val="Hyperlink"/>
          </w:rPr>
          <w:t>Skłodowska</w:t>
        </w:r>
        <w:proofErr w:type="spellEnd"/>
        <w:r>
          <w:rPr>
            <w:rStyle w:val="Hyperlink"/>
          </w:rPr>
          <w:t>-Curie Actions (europa.eu)</w:t>
        </w:r>
      </w:hyperlink>
      <w:r>
        <w:t xml:space="preserve"> </w:t>
      </w:r>
    </w:p>
    <w:p w14:paraId="44001AD9" w14:textId="1462CEF9" w:rsidR="000F65A8" w:rsidRDefault="000F65A8" w:rsidP="001546F2">
      <w:pPr>
        <w:shd w:val="clear" w:color="auto" w:fill="FFFFFF"/>
        <w:spacing w:after="195" w:line="240" w:lineRule="auto"/>
      </w:pPr>
    </w:p>
    <w:sectPr w:rsidR="000F65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B2F"/>
    <w:rsid w:val="000C6B1E"/>
    <w:rsid w:val="000F65A8"/>
    <w:rsid w:val="0011042A"/>
    <w:rsid w:val="001546F2"/>
    <w:rsid w:val="002B4B2F"/>
    <w:rsid w:val="005A1AFA"/>
    <w:rsid w:val="006C288E"/>
    <w:rsid w:val="007B53C6"/>
    <w:rsid w:val="00881A9A"/>
    <w:rsid w:val="009219F8"/>
    <w:rsid w:val="00BA7080"/>
    <w:rsid w:val="00C22CAB"/>
    <w:rsid w:val="00D529D4"/>
    <w:rsid w:val="00D565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C778"/>
  <w15:chartTrackingRefBased/>
  <w15:docId w15:val="{E1E9866A-648E-4A95-A4A1-0EB750CB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4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4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4B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4B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B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B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B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B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B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4B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4B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4B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4B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B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B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B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B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B2F"/>
    <w:rPr>
      <w:rFonts w:eastAsiaTheme="majorEastAsia" w:cstheme="majorBidi"/>
      <w:color w:val="272727" w:themeColor="text1" w:themeTint="D8"/>
    </w:rPr>
  </w:style>
  <w:style w:type="paragraph" w:styleId="Title">
    <w:name w:val="Title"/>
    <w:basedOn w:val="Normal"/>
    <w:next w:val="Normal"/>
    <w:link w:val="TitleChar"/>
    <w:uiPriority w:val="10"/>
    <w:qFormat/>
    <w:rsid w:val="002B4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B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B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B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B2F"/>
    <w:pPr>
      <w:spacing w:before="160"/>
      <w:jc w:val="center"/>
    </w:pPr>
    <w:rPr>
      <w:i/>
      <w:iCs/>
      <w:color w:val="404040" w:themeColor="text1" w:themeTint="BF"/>
    </w:rPr>
  </w:style>
  <w:style w:type="character" w:customStyle="1" w:styleId="QuoteChar">
    <w:name w:val="Quote Char"/>
    <w:basedOn w:val="DefaultParagraphFont"/>
    <w:link w:val="Quote"/>
    <w:uiPriority w:val="29"/>
    <w:rsid w:val="002B4B2F"/>
    <w:rPr>
      <w:i/>
      <w:iCs/>
      <w:color w:val="404040" w:themeColor="text1" w:themeTint="BF"/>
    </w:rPr>
  </w:style>
  <w:style w:type="paragraph" w:styleId="ListParagraph">
    <w:name w:val="List Paragraph"/>
    <w:basedOn w:val="Normal"/>
    <w:uiPriority w:val="34"/>
    <w:qFormat/>
    <w:rsid w:val="002B4B2F"/>
    <w:pPr>
      <w:ind w:left="720"/>
      <w:contextualSpacing/>
    </w:pPr>
  </w:style>
  <w:style w:type="character" w:styleId="IntenseEmphasis">
    <w:name w:val="Intense Emphasis"/>
    <w:basedOn w:val="DefaultParagraphFont"/>
    <w:uiPriority w:val="21"/>
    <w:qFormat/>
    <w:rsid w:val="002B4B2F"/>
    <w:rPr>
      <w:i/>
      <w:iCs/>
      <w:color w:val="0F4761" w:themeColor="accent1" w:themeShade="BF"/>
    </w:rPr>
  </w:style>
  <w:style w:type="paragraph" w:styleId="IntenseQuote">
    <w:name w:val="Intense Quote"/>
    <w:basedOn w:val="Normal"/>
    <w:next w:val="Normal"/>
    <w:link w:val="IntenseQuoteChar"/>
    <w:uiPriority w:val="30"/>
    <w:qFormat/>
    <w:rsid w:val="002B4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B2F"/>
    <w:rPr>
      <w:i/>
      <w:iCs/>
      <w:color w:val="0F4761" w:themeColor="accent1" w:themeShade="BF"/>
    </w:rPr>
  </w:style>
  <w:style w:type="character" w:styleId="IntenseReference">
    <w:name w:val="Intense Reference"/>
    <w:basedOn w:val="DefaultParagraphFont"/>
    <w:uiPriority w:val="32"/>
    <w:qFormat/>
    <w:rsid w:val="002B4B2F"/>
    <w:rPr>
      <w:b/>
      <w:bCs/>
      <w:smallCaps/>
      <w:color w:val="0F4761" w:themeColor="accent1" w:themeShade="BF"/>
      <w:spacing w:val="5"/>
    </w:rPr>
  </w:style>
  <w:style w:type="paragraph" w:styleId="NormalWeb">
    <w:name w:val="Normal (Web)"/>
    <w:basedOn w:val="Normal"/>
    <w:uiPriority w:val="99"/>
    <w:semiHidden/>
    <w:unhideWhenUsed/>
    <w:rsid w:val="002B4B2F"/>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 w:type="character" w:styleId="Strong">
    <w:name w:val="Strong"/>
    <w:basedOn w:val="DefaultParagraphFont"/>
    <w:uiPriority w:val="22"/>
    <w:qFormat/>
    <w:rsid w:val="002B4B2F"/>
    <w:rPr>
      <w:b/>
      <w:bCs/>
    </w:rPr>
  </w:style>
  <w:style w:type="character" w:styleId="Hyperlink">
    <w:name w:val="Hyperlink"/>
    <w:basedOn w:val="DefaultParagraphFont"/>
    <w:uiPriority w:val="99"/>
    <w:unhideWhenUsed/>
    <w:rsid w:val="002B4B2F"/>
    <w:rPr>
      <w:color w:val="0000FF"/>
      <w:u w:val="single"/>
    </w:rPr>
  </w:style>
  <w:style w:type="character" w:styleId="UnresolvedMention">
    <w:name w:val="Unresolved Mention"/>
    <w:basedOn w:val="DefaultParagraphFont"/>
    <w:uiPriority w:val="99"/>
    <w:semiHidden/>
    <w:unhideWhenUsed/>
    <w:rsid w:val="002B4B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615024">
      <w:bodyDiv w:val="1"/>
      <w:marLeft w:val="0"/>
      <w:marRight w:val="0"/>
      <w:marTop w:val="0"/>
      <w:marBottom w:val="0"/>
      <w:divBdr>
        <w:top w:val="none" w:sz="0" w:space="0" w:color="auto"/>
        <w:left w:val="none" w:sz="0" w:space="0" w:color="auto"/>
        <w:bottom w:val="none" w:sz="0" w:space="0" w:color="auto"/>
        <w:right w:val="none" w:sz="0" w:space="0" w:color="auto"/>
      </w:divBdr>
      <w:divsChild>
        <w:div w:id="117260310">
          <w:marLeft w:val="0"/>
          <w:marRight w:val="0"/>
          <w:marTop w:val="0"/>
          <w:marBottom w:val="0"/>
          <w:divBdr>
            <w:top w:val="none" w:sz="0" w:space="0" w:color="auto"/>
            <w:left w:val="none" w:sz="0" w:space="0" w:color="auto"/>
            <w:bottom w:val="none" w:sz="0" w:space="0" w:color="auto"/>
            <w:right w:val="none" w:sz="0" w:space="0" w:color="auto"/>
          </w:divBdr>
          <w:divsChild>
            <w:div w:id="373965425">
              <w:marLeft w:val="0"/>
              <w:marRight w:val="0"/>
              <w:marTop w:val="0"/>
              <w:marBottom w:val="0"/>
              <w:divBdr>
                <w:top w:val="none" w:sz="0" w:space="0" w:color="auto"/>
                <w:left w:val="none" w:sz="0" w:space="0" w:color="auto"/>
                <w:bottom w:val="none" w:sz="0" w:space="0" w:color="auto"/>
                <w:right w:val="none" w:sz="0" w:space="0" w:color="auto"/>
              </w:divBdr>
              <w:divsChild>
                <w:div w:id="1969621493">
                  <w:marLeft w:val="-225"/>
                  <w:marRight w:val="-225"/>
                  <w:marTop w:val="0"/>
                  <w:marBottom w:val="0"/>
                  <w:divBdr>
                    <w:top w:val="none" w:sz="0" w:space="0" w:color="auto"/>
                    <w:left w:val="none" w:sz="0" w:space="0" w:color="auto"/>
                    <w:bottom w:val="none" w:sz="0" w:space="0" w:color="auto"/>
                    <w:right w:val="none" w:sz="0" w:space="0" w:color="auto"/>
                  </w:divBdr>
                  <w:divsChild>
                    <w:div w:id="1081945334">
                      <w:marLeft w:val="0"/>
                      <w:marRight w:val="0"/>
                      <w:marTop w:val="0"/>
                      <w:marBottom w:val="0"/>
                      <w:divBdr>
                        <w:top w:val="none" w:sz="0" w:space="0" w:color="auto"/>
                        <w:left w:val="none" w:sz="0" w:space="0" w:color="auto"/>
                        <w:bottom w:val="none" w:sz="0" w:space="0" w:color="auto"/>
                        <w:right w:val="none" w:sz="0" w:space="0" w:color="auto"/>
                      </w:divBdr>
                      <w:divsChild>
                        <w:div w:id="1977687304">
                          <w:marLeft w:val="-225"/>
                          <w:marRight w:val="-225"/>
                          <w:marTop w:val="0"/>
                          <w:marBottom w:val="0"/>
                          <w:divBdr>
                            <w:top w:val="none" w:sz="0" w:space="0" w:color="auto"/>
                            <w:left w:val="none" w:sz="0" w:space="0" w:color="auto"/>
                            <w:bottom w:val="none" w:sz="0" w:space="0" w:color="auto"/>
                            <w:right w:val="none" w:sz="0" w:space="0" w:color="auto"/>
                          </w:divBdr>
                          <w:divsChild>
                            <w:div w:id="153306357">
                              <w:marLeft w:val="0"/>
                              <w:marRight w:val="0"/>
                              <w:marTop w:val="0"/>
                              <w:marBottom w:val="0"/>
                              <w:divBdr>
                                <w:top w:val="none" w:sz="0" w:space="0" w:color="auto"/>
                                <w:left w:val="none" w:sz="0" w:space="0" w:color="auto"/>
                                <w:bottom w:val="none" w:sz="0" w:space="0" w:color="auto"/>
                                <w:right w:val="none" w:sz="0" w:space="0" w:color="auto"/>
                              </w:divBdr>
                              <w:divsChild>
                                <w:div w:id="1446846850">
                                  <w:marLeft w:val="0"/>
                                  <w:marRight w:val="0"/>
                                  <w:marTop w:val="0"/>
                                  <w:marBottom w:val="0"/>
                                  <w:divBdr>
                                    <w:top w:val="none" w:sz="0" w:space="0" w:color="auto"/>
                                    <w:left w:val="none" w:sz="0" w:space="0" w:color="auto"/>
                                    <w:bottom w:val="none" w:sz="0" w:space="0" w:color="auto"/>
                                    <w:right w:val="none" w:sz="0" w:space="0" w:color="auto"/>
                                  </w:divBdr>
                                  <w:divsChild>
                                    <w:div w:id="987510883">
                                      <w:marLeft w:val="0"/>
                                      <w:marRight w:val="0"/>
                                      <w:marTop w:val="0"/>
                                      <w:marBottom w:val="0"/>
                                      <w:divBdr>
                                        <w:top w:val="none" w:sz="0" w:space="0" w:color="auto"/>
                                        <w:left w:val="none" w:sz="0" w:space="0" w:color="auto"/>
                                        <w:bottom w:val="none" w:sz="0" w:space="0" w:color="auto"/>
                                        <w:right w:val="none" w:sz="0" w:space="0" w:color="auto"/>
                                      </w:divBdr>
                                      <w:divsChild>
                                        <w:div w:id="67768511">
                                          <w:marLeft w:val="0"/>
                                          <w:marRight w:val="0"/>
                                          <w:marTop w:val="0"/>
                                          <w:marBottom w:val="0"/>
                                          <w:divBdr>
                                            <w:top w:val="none" w:sz="0" w:space="0" w:color="auto"/>
                                            <w:left w:val="none" w:sz="0" w:space="0" w:color="auto"/>
                                            <w:bottom w:val="none" w:sz="0" w:space="0" w:color="auto"/>
                                            <w:right w:val="none" w:sz="0" w:space="0" w:color="auto"/>
                                          </w:divBdr>
                                        </w:div>
                                        <w:div w:id="814226599">
                                          <w:marLeft w:val="0"/>
                                          <w:marRight w:val="0"/>
                                          <w:marTop w:val="0"/>
                                          <w:marBottom w:val="0"/>
                                          <w:divBdr>
                                            <w:top w:val="none" w:sz="0" w:space="0" w:color="auto"/>
                                            <w:left w:val="none" w:sz="0" w:space="0" w:color="auto"/>
                                            <w:bottom w:val="none" w:sz="0" w:space="0" w:color="auto"/>
                                            <w:right w:val="none" w:sz="0" w:space="0" w:color="auto"/>
                                          </w:divBdr>
                                          <w:divsChild>
                                            <w:div w:id="2139176752">
                                              <w:marLeft w:val="0"/>
                                              <w:marRight w:val="0"/>
                                              <w:marTop w:val="750"/>
                                              <w:marBottom w:val="0"/>
                                              <w:divBdr>
                                                <w:top w:val="none" w:sz="0" w:space="0" w:color="auto"/>
                                                <w:left w:val="none" w:sz="0" w:space="0" w:color="auto"/>
                                                <w:bottom w:val="none" w:sz="0" w:space="0" w:color="auto"/>
                                                <w:right w:val="none" w:sz="0" w:space="0" w:color="auto"/>
                                              </w:divBdr>
                                            </w:div>
                                            <w:div w:id="91370650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283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e-sklodowska-curie-actions.ec.europa.eu/actions/how-to-apply?" TargetMode="External"/><Relationship Id="rId3" Type="http://schemas.openxmlformats.org/officeDocument/2006/relationships/webSettings" Target="webSettings.xml"/><Relationship Id="rId7" Type="http://schemas.openxmlformats.org/officeDocument/2006/relationships/hyperlink" Target="https://marie-sklodowska-curie-actions.ec.europa.eu/actions/postdoctoral-fellowsh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iversityofgalway.ie/irish-centre-human-rights/staff/" TargetMode="External"/><Relationship Id="rId5" Type="http://schemas.openxmlformats.org/officeDocument/2006/relationships/hyperlink" Target="mailto:humanrights@universityofgalway.ie" TargetMode="External"/><Relationship Id="rId10" Type="http://schemas.openxmlformats.org/officeDocument/2006/relationships/theme" Target="theme/theme1.xml"/><Relationship Id="rId4" Type="http://schemas.openxmlformats.org/officeDocument/2006/relationships/hyperlink" Target="https://marie-sklodowska-curie-actions.ec.europa.eu/calls/msca-postdoctoral-fellowships-2024"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Mullally, Siobhan</dc:creator>
  <cp:keywords/>
  <dc:description/>
  <cp:lastModifiedBy>Mullally, Siobhan</cp:lastModifiedBy>
  <cp:revision>2</cp:revision>
  <dcterms:created xsi:type="dcterms:W3CDTF">2025-03-28T10:10:00Z</dcterms:created>
  <dcterms:modified xsi:type="dcterms:W3CDTF">2025-03-28T10:10:00Z</dcterms:modified>
</cp:coreProperties>
</file>